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HCCGZB25055</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华昌佛山基地2025年售电采购</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hAnsi="宋体"/>
          <w:b/>
          <w:bCs/>
          <w:sz w:val="32"/>
          <w:szCs w:val="32"/>
          <w:lang w:val="en-US" w:eastAsia="zh-CN"/>
        </w:rPr>
        <w:t>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2025年10月20日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截标日期：2025年12月15日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华昌佛山基地2026年售电采购公开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HCCGZB25055</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联系</w:t>
      </w:r>
      <w:r>
        <w:rPr>
          <w:rFonts w:hint="eastAsia" w:asciiTheme="majorEastAsia" w:hAnsiTheme="majorEastAsia" w:eastAsiaTheme="majorEastAsia" w:cstheme="majorEastAsia"/>
          <w:sz w:val="28"/>
          <w:szCs w:val="28"/>
        </w:rPr>
        <w:t>地址：</w:t>
      </w:r>
      <w:r>
        <w:rPr>
          <w:rFonts w:hint="eastAsia"/>
          <w:color w:val="auto"/>
          <w:sz w:val="28"/>
          <w:szCs w:val="28"/>
          <w:lang w:val="en-US" w:eastAsia="zh-CN"/>
        </w:rPr>
        <w:t>佛山市南海区大沥镇岭南路73号华昌中心25楼采购中心</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项目年均用量</w:t>
      </w:r>
      <w:r>
        <w:rPr>
          <w:rFonts w:hint="eastAsia" w:asciiTheme="majorEastAsia" w:hAnsiTheme="majorEastAsia" w:eastAsiaTheme="majorEastAsia" w:cstheme="majorEastAsia"/>
          <w:spacing w:val="-14"/>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宋体" w:hAnsi="宋体"/>
          <w:sz w:val="28"/>
          <w:szCs w:val="28"/>
        </w:rPr>
      </w:pPr>
      <w:r>
        <w:rPr>
          <w:rFonts w:hint="eastAsia" w:ascii="宋体" w:hAnsi="宋体"/>
          <w:spacing w:val="-14"/>
          <w:sz w:val="28"/>
          <w:szCs w:val="28"/>
          <w:lang w:val="en-US" w:eastAsia="zh-CN"/>
        </w:rPr>
        <w:t xml:space="preserve">        华昌佛山基地年平均用电量8000万度。</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20</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w:t>
      </w:r>
      <w:r>
        <w:rPr>
          <w:rFonts w:hint="eastAsia" w:asciiTheme="majorEastAsia" w:hAnsiTheme="majorEastAsia" w:eastAsiaTheme="majorEastAsia" w:cstheme="majorEastAsia"/>
          <w:sz w:val="28"/>
          <w:szCs w:val="28"/>
          <w:lang w:val="en-US" w:eastAsia="zh-CN"/>
        </w:rPr>
        <w:t>45</w:t>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7</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45</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**公司佛山华昌售电标书费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w:t>
      </w:r>
      <w:r>
        <w:rPr>
          <w:rFonts w:hint="eastAsia"/>
          <w:color w:val="auto"/>
          <w:sz w:val="28"/>
          <w:szCs w:val="28"/>
          <w:lang w:val="en-US" w:eastAsia="zh-CN"/>
        </w:rPr>
        <w:t>卢旭虎18824839098、李明明13580455827、潘惠华15728229886。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840" w:firstLineChars="300"/>
        <w:jc w:val="left"/>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 xml:space="preserve">开户银行：中国农业银行佛山南海大沥支行  </w:t>
      </w:r>
    </w:p>
    <w:p>
      <w:pPr>
        <w:spacing w:line="500" w:lineRule="exact"/>
        <w:ind w:firstLine="840" w:firstLineChars="300"/>
        <w:jc w:val="left"/>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银行账户：44516001040012366</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7</w:t>
      </w:r>
      <w:r>
        <w:rPr>
          <w:rFonts w:hint="eastAsia" w:asciiTheme="majorEastAsia" w:hAnsiTheme="majorEastAsia" w:eastAsiaTheme="majorEastAsia" w:cstheme="majorEastAsia"/>
          <w:sz w:val="28"/>
          <w:szCs w:val="28"/>
          <w:u w:val="single"/>
        </w:rPr>
        <w:t>：</w:t>
      </w:r>
      <w:r>
        <w:rPr>
          <w:rFonts w:hint="eastAsia" w:asciiTheme="majorEastAsia" w:hAnsiTheme="majorEastAsia" w:eastAsiaTheme="majorEastAsia" w:cstheme="majorEastAsia"/>
          <w:sz w:val="28"/>
          <w:szCs w:val="28"/>
          <w:u w:val="single"/>
          <w:lang w:val="en-US" w:eastAsia="zh-CN"/>
        </w:rPr>
        <w:t>45</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color w:val="auto"/>
          <w:sz w:val="28"/>
          <w:szCs w:val="28"/>
          <w:lang w:val="en-US" w:eastAsia="zh-CN"/>
        </w:rPr>
        <w:t>佛山市南海区大沥镇岭南路73号华昌中心25楼</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w:t>
            </w:r>
            <w:r>
              <w:rPr>
                <w:rFonts w:hint="eastAsia" w:ascii="宋体" w:hAnsi="宋体" w:cs="宋体"/>
                <w:color w:val="auto"/>
                <w:sz w:val="28"/>
                <w:szCs w:val="28"/>
                <w:lang w:val="en-US" w:eastAsia="zh-CN"/>
              </w:rPr>
              <w:t>省</w:t>
            </w:r>
            <w:r>
              <w:rPr>
                <w:rFonts w:hint="eastAsia"/>
                <w:color w:val="auto"/>
                <w:sz w:val="28"/>
                <w:szCs w:val="28"/>
                <w:lang w:val="en-US" w:eastAsia="zh-CN"/>
              </w:rPr>
              <w:t>佛山市南海区大沥镇岭南路73号华昌中心25楼采购中心</w:t>
            </w:r>
          </w:p>
          <w:p>
            <w:pPr>
              <w:numPr>
                <w:ilvl w:val="0"/>
                <w:numId w:val="0"/>
              </w:numPr>
              <w:rPr>
                <w:rFonts w:hint="eastAsia" w:ascii="宋体" w:hAnsi="宋体" w:eastAsia="宋体" w:cs="宋体"/>
                <w:color w:val="auto"/>
                <w:sz w:val="28"/>
                <w:szCs w:val="28"/>
              </w:rPr>
            </w:pPr>
            <w:r>
              <w:rPr>
                <w:rFonts w:hint="eastAsia"/>
                <w:color w:val="auto"/>
                <w:sz w:val="28"/>
                <w:szCs w:val="28"/>
                <w:lang w:val="en-US" w:eastAsia="zh-CN"/>
              </w:rPr>
              <w:t>卢旭虎18824839098、李明明13580455827、潘惠华15728229886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eastAsia="宋体" w:cs="宋体"/>
                <w:color w:val="auto"/>
                <w:sz w:val="28"/>
                <w:szCs w:val="28"/>
                <w:u w:val="single"/>
                <w:lang w:val="en-US" w:eastAsia="zh-CN"/>
              </w:rPr>
              <w:t>售电项目经验有相关案例</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壹拾</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w:t>
            </w:r>
            <w:r>
              <w:rPr>
                <w:rFonts w:hint="eastAsia" w:ascii="宋体" w:hAnsi="宋体" w:eastAsia="宋体" w:cs="宋体"/>
                <w:color w:val="auto"/>
                <w:sz w:val="28"/>
                <w:szCs w:val="28"/>
                <w:highlight w:val="yellow"/>
              </w:rPr>
              <w:t>招标编号及名称</w:t>
            </w:r>
            <w:r>
              <w:rPr>
                <w:rFonts w:hint="eastAsia" w:ascii="宋体" w:hAnsi="宋体" w:eastAsia="宋体" w:cs="宋体"/>
                <w:color w:val="auto"/>
                <w:sz w:val="28"/>
                <w:szCs w:val="28"/>
              </w:rPr>
              <w:t>。投标人必须保证投标保证金在投标截止时间前即开标时间前到账，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开户银行：中国农业银行佛山南海大沥支行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银行账户：44516001040012366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w:t>
            </w:r>
            <w:r>
              <w:rPr>
                <w:rFonts w:hint="eastAsia" w:ascii="宋体" w:hAnsi="宋体" w:cs="宋体"/>
                <w:color w:val="auto"/>
                <w:sz w:val="28"/>
                <w:szCs w:val="28"/>
                <w:lang w:val="en-US" w:eastAsia="zh-CN"/>
              </w:rPr>
              <w:t>省</w:t>
            </w:r>
            <w:r>
              <w:rPr>
                <w:rFonts w:hint="eastAsia"/>
                <w:color w:val="auto"/>
                <w:sz w:val="28"/>
                <w:szCs w:val="28"/>
                <w:lang w:val="en-US" w:eastAsia="zh-CN"/>
              </w:rPr>
              <w:t>佛山市南海区大沥镇岭南路73号华昌中心25楼采购中心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w:t>
      </w:r>
      <w:r>
        <w:rPr>
          <w:rFonts w:hint="eastAsia" w:ascii="宋体" w:hAnsi="宋体" w:cs="宋体"/>
          <w:color w:val="auto"/>
          <w:sz w:val="28"/>
          <w:szCs w:val="28"/>
          <w:u w:val="single"/>
          <w:lang w:val="en-US" w:eastAsia="zh-CN"/>
        </w:rPr>
        <w:t>:</w:t>
      </w:r>
      <w:r>
        <w:rPr>
          <w:rFonts w:hint="eastAsia" w:ascii="宋体" w:hAnsi="宋体" w:eastAsia="宋体" w:cs="宋体"/>
          <w:color w:val="auto"/>
          <w:sz w:val="28"/>
          <w:szCs w:val="28"/>
          <w:u w:val="single"/>
          <w:lang w:val="en-US" w:eastAsia="zh-CN"/>
        </w:rPr>
        <w:t>国企</w:t>
      </w:r>
      <w:r>
        <w:rPr>
          <w:rFonts w:hint="eastAsia" w:ascii="宋体" w:hAnsi="宋体" w:cs="宋体"/>
          <w:color w:val="auto"/>
          <w:sz w:val="28"/>
          <w:szCs w:val="28"/>
          <w:u w:val="single"/>
          <w:lang w:val="en-US" w:eastAsia="zh-CN"/>
        </w:rPr>
        <w:t>或</w:t>
      </w:r>
      <w:r>
        <w:rPr>
          <w:rFonts w:hint="eastAsia" w:ascii="宋体" w:hAnsi="宋体" w:eastAsia="宋体" w:cs="宋体"/>
          <w:color w:val="auto"/>
          <w:sz w:val="28"/>
          <w:szCs w:val="28"/>
          <w:u w:val="single"/>
          <w:lang w:val="en-US" w:eastAsia="zh-CN"/>
        </w:rPr>
        <w:t>上市公司</w:t>
      </w:r>
      <w:r>
        <w:rPr>
          <w:rFonts w:hint="eastAsia" w:ascii="宋体" w:hAnsi="宋体" w:eastAsia="宋体" w:cs="宋体"/>
          <w:color w:val="auto"/>
          <w:sz w:val="28"/>
          <w:szCs w:val="28"/>
          <w:u w:val="single"/>
        </w:rPr>
        <w:t>，并符合招标单位有关要求的法人资</w:t>
      </w:r>
      <w:bookmarkStart w:id="1" w:name="_GoBack"/>
      <w:bookmarkEnd w:id="1"/>
      <w:r>
        <w:rPr>
          <w:rFonts w:hint="eastAsia" w:ascii="宋体" w:hAnsi="宋体" w:eastAsia="宋体" w:cs="宋体"/>
          <w:color w:val="auto"/>
          <w:sz w:val="28"/>
          <w:szCs w:val="28"/>
          <w:u w:val="single"/>
        </w:rPr>
        <w:t>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w:t>
      </w:r>
      <w:r>
        <w:rPr>
          <w:rFonts w:hint="eastAsia" w:ascii="宋体" w:hAnsi="宋体" w:cs="宋体"/>
          <w:color w:val="auto"/>
          <w:sz w:val="28"/>
          <w:szCs w:val="28"/>
          <w:lang w:eastAsia="zh-CN"/>
        </w:rPr>
        <w:t>按需供给华昌佛山基地电力使用</w:t>
      </w:r>
      <w:r>
        <w:rPr>
          <w:rFonts w:hint="eastAsia" w:ascii="宋体" w:hAnsi="宋体" w:eastAsia="宋体" w:cs="宋体"/>
          <w:color w:val="auto"/>
          <w:sz w:val="28"/>
          <w:szCs w:val="28"/>
        </w:rPr>
        <w:t>。</w:t>
      </w: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w:t>
      </w:r>
      <w:r>
        <w:rPr>
          <w:rFonts w:hint="eastAsia" w:ascii="宋体" w:hAnsi="宋体" w:cs="宋体"/>
          <w:color w:val="auto"/>
          <w:sz w:val="28"/>
          <w:szCs w:val="28"/>
          <w:lang w:eastAsia="zh-CN"/>
        </w:rPr>
        <w:t>售电</w:t>
      </w:r>
      <w:r>
        <w:rPr>
          <w:rFonts w:hint="eastAsia" w:ascii="宋体" w:hAnsi="宋体" w:eastAsia="宋体" w:cs="宋体"/>
          <w:color w:val="auto"/>
          <w:sz w:val="28"/>
          <w:szCs w:val="28"/>
        </w:rPr>
        <w:t>资格和投标承诺有效期为合同签定后一年，因</w:t>
      </w:r>
      <w:r>
        <w:rPr>
          <w:rFonts w:hint="eastAsia" w:ascii="宋体" w:hAnsi="宋体" w:cs="宋体"/>
          <w:color w:val="auto"/>
          <w:sz w:val="28"/>
          <w:szCs w:val="28"/>
          <w:lang w:eastAsia="zh-CN"/>
        </w:rPr>
        <w:t>售电长期</w:t>
      </w:r>
      <w:r>
        <w:rPr>
          <w:rFonts w:hint="eastAsia" w:ascii="宋体" w:hAnsi="宋体" w:eastAsia="宋体" w:cs="宋体"/>
          <w:color w:val="auto"/>
          <w:sz w:val="28"/>
          <w:szCs w:val="28"/>
        </w:rPr>
        <w:t>延误</w:t>
      </w:r>
      <w:r>
        <w:rPr>
          <w:rFonts w:hint="eastAsia" w:ascii="宋体" w:hAnsi="宋体" w:cs="宋体"/>
          <w:color w:val="auto"/>
          <w:sz w:val="28"/>
          <w:szCs w:val="28"/>
          <w:lang w:eastAsia="zh-CN"/>
        </w:rPr>
        <w:t>等</w:t>
      </w:r>
      <w:r>
        <w:rPr>
          <w:rFonts w:hint="eastAsia" w:ascii="宋体" w:hAnsi="宋体" w:eastAsia="宋体" w:cs="宋体"/>
          <w:color w:val="auto"/>
          <w:sz w:val="28"/>
          <w:szCs w:val="28"/>
        </w:rPr>
        <w:t>原因被终止</w:t>
      </w:r>
      <w:r>
        <w:rPr>
          <w:rFonts w:hint="eastAsia" w:ascii="宋体" w:hAnsi="宋体" w:cs="宋体"/>
          <w:color w:val="auto"/>
          <w:sz w:val="28"/>
          <w:szCs w:val="28"/>
          <w:lang w:eastAsia="zh-CN"/>
        </w:rPr>
        <w:t>售电</w:t>
      </w:r>
      <w:r>
        <w:rPr>
          <w:rFonts w:hint="eastAsia" w:ascii="宋体" w:hAnsi="宋体" w:eastAsia="宋体" w:cs="宋体"/>
          <w:color w:val="auto"/>
          <w:sz w:val="28"/>
          <w:szCs w:val="28"/>
        </w:rPr>
        <w:t>资格除外。</w:t>
      </w:r>
    </w:p>
    <w:p>
      <w:pPr>
        <w:spacing w:line="400" w:lineRule="exact"/>
        <w:jc w:val="center"/>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 </w:t>
      </w:r>
    </w:p>
    <w:p>
      <w:pPr>
        <w:spacing w:line="400" w:lineRule="exact"/>
        <w:jc w:val="center"/>
        <w:rPr>
          <w:rFonts w:hint="eastAsia" w:ascii="宋体" w:hAnsi="宋体" w:cs="宋体"/>
          <w:b/>
          <w:bCs/>
          <w:color w:val="auto"/>
          <w:sz w:val="32"/>
          <w:szCs w:val="32"/>
          <w:lang w:val="en-US" w:eastAsia="zh-CN"/>
        </w:rPr>
      </w:pPr>
    </w:p>
    <w:p>
      <w:pPr>
        <w:spacing w:line="400" w:lineRule="exact"/>
        <w:jc w:val="center"/>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60" w:lineRule="exact"/>
        <w:rPr>
          <w:rFonts w:hint="eastAsia" w:ascii="宋体" w:hAnsi="宋体"/>
          <w:color w:val="0C0C0C"/>
          <w:sz w:val="28"/>
          <w:szCs w:val="28"/>
          <w:lang w:val="en-US" w:eastAsia="zh-CN"/>
        </w:rPr>
      </w:pPr>
      <w:r>
        <w:rPr>
          <w:rFonts w:hint="eastAsia" w:ascii="宋体" w:hAnsi="宋体"/>
          <w:color w:val="0C0C0C"/>
          <w:sz w:val="28"/>
          <w:szCs w:val="28"/>
          <w:lang w:val="en-US" w:eastAsia="zh-CN"/>
        </w:rPr>
        <w:t>1、符合第三章标的规格要求。</w:t>
      </w:r>
    </w:p>
    <w:p>
      <w:pPr>
        <w:spacing w:line="460" w:lineRule="exact"/>
        <w:rPr>
          <w:rFonts w:hint="eastAsia" w:ascii="宋体" w:hAnsi="宋体"/>
          <w:color w:val="0C0C0C"/>
          <w:sz w:val="28"/>
          <w:szCs w:val="28"/>
          <w:lang w:val="en-US" w:eastAsia="zh-CN"/>
        </w:rPr>
      </w:pPr>
      <w:r>
        <w:rPr>
          <w:rFonts w:hint="eastAsia" w:ascii="宋体" w:hAnsi="宋体"/>
          <w:color w:val="0C0C0C"/>
          <w:sz w:val="28"/>
          <w:szCs w:val="28"/>
          <w:lang w:val="en-US" w:eastAsia="zh-CN"/>
        </w:rPr>
        <w:t>2、按照国家有关法律、规定和技术规范，为招标方提供电力交易代理服务，做好需求侧管理，参与批发市场交易并按规定结算。</w:t>
      </w: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w:t>
      </w:r>
      <w:r>
        <w:rPr>
          <w:rFonts w:hint="eastAsia" w:ascii="宋体" w:hAnsi="宋体" w:cs="宋体"/>
          <w:color w:val="auto"/>
          <w:sz w:val="28"/>
          <w:szCs w:val="28"/>
          <w:lang w:eastAsia="zh-CN"/>
        </w:rPr>
        <w:t>售电</w:t>
      </w:r>
      <w:r>
        <w:rPr>
          <w:rFonts w:hint="eastAsia" w:ascii="宋体" w:hAnsi="宋体" w:eastAsia="宋体" w:cs="宋体"/>
          <w:color w:val="auto"/>
          <w:sz w:val="28"/>
          <w:szCs w:val="28"/>
        </w:rPr>
        <w:t>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w:t>
      </w:r>
      <w:r>
        <w:rPr>
          <w:rFonts w:hint="eastAsia" w:ascii="宋体" w:hAnsi="宋体" w:cs="宋体"/>
          <w:color w:val="auto"/>
          <w:sz w:val="28"/>
          <w:szCs w:val="28"/>
          <w:lang w:eastAsia="zh-CN"/>
        </w:rPr>
        <w:t>相关</w:t>
      </w:r>
      <w:r>
        <w:rPr>
          <w:rFonts w:hint="eastAsia" w:ascii="宋体" w:hAnsi="宋体" w:eastAsia="宋体" w:cs="宋体"/>
          <w:color w:val="auto"/>
          <w:sz w:val="28"/>
          <w:szCs w:val="28"/>
        </w:rPr>
        <w:t>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w:t>
      </w:r>
      <w:r>
        <w:rPr>
          <w:rFonts w:hint="eastAsia" w:ascii="宋体" w:hAnsi="宋体" w:cs="宋体"/>
          <w:color w:val="auto"/>
          <w:sz w:val="28"/>
          <w:szCs w:val="28"/>
          <w:lang w:eastAsia="zh-CN"/>
        </w:rPr>
        <w:t>售电</w:t>
      </w:r>
      <w:r>
        <w:rPr>
          <w:rFonts w:hint="eastAsia" w:ascii="宋体" w:hAnsi="宋体" w:eastAsia="宋体" w:cs="宋体"/>
          <w:color w:val="auto"/>
          <w:sz w:val="28"/>
          <w:szCs w:val="28"/>
        </w:rPr>
        <w:t>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w:t>
      </w:r>
    </w:p>
    <w:p>
      <w:pPr>
        <w:spacing w:line="400" w:lineRule="exact"/>
        <w:jc w:val="left"/>
        <w:rPr>
          <w:rFonts w:hint="eastAsia" w:ascii="宋体" w:hAnsi="宋体" w:eastAsia="宋体" w:cs="宋体"/>
          <w:b/>
          <w:bCs/>
          <w:color w:val="auto"/>
          <w:sz w:val="32"/>
          <w:szCs w:val="32"/>
          <w:lang w:eastAsia="zh-CN"/>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w:t>
      </w:r>
      <w:r>
        <w:rPr>
          <w:rFonts w:hint="eastAsia" w:ascii="宋体" w:hAnsi="宋体" w:cs="宋体"/>
          <w:color w:val="auto"/>
          <w:sz w:val="28"/>
          <w:szCs w:val="28"/>
          <w:lang w:eastAsia="zh-CN"/>
        </w:rPr>
        <w:t>售电</w:t>
      </w:r>
      <w:r>
        <w:rPr>
          <w:rFonts w:hint="eastAsia" w:ascii="宋体" w:hAnsi="宋体" w:eastAsia="宋体" w:cs="宋体"/>
          <w:color w:val="auto"/>
          <w:sz w:val="28"/>
          <w:szCs w:val="28"/>
        </w:rPr>
        <w:t>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100000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r>
              <w:rPr>
                <w:rFonts w:hint="eastAsia" w:ascii="宋体" w:hAnsi="宋体" w:cs="宋体"/>
                <w:i w:val="0"/>
                <w:color w:val="000000"/>
                <w:kern w:val="0"/>
                <w:sz w:val="24"/>
                <w:szCs w:val="24"/>
                <w:u w:val="none"/>
                <w:lang w:val="en-US" w:eastAsia="zh-CN" w:bidi="ar"/>
              </w:rPr>
              <w:t>24</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5</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1231"/>
        <w:gridCol w:w="3011"/>
        <w:gridCol w:w="1254"/>
        <w:gridCol w:w="1"/>
      </w:tblGrid>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项目</w:t>
            </w:r>
            <w:r>
              <w:rPr>
                <w:rFonts w:hint="eastAsia" w:ascii="宋体" w:hAnsi="宋体" w:eastAsia="宋体" w:cs="宋体"/>
                <w:i w:val="0"/>
                <w:color w:val="000000"/>
                <w:kern w:val="0"/>
                <w:sz w:val="24"/>
                <w:szCs w:val="24"/>
                <w:u w:val="none"/>
                <w:lang w:val="en-US" w:eastAsia="zh-CN" w:bidi="ar"/>
              </w:rPr>
              <w:t>名称</w:t>
            </w: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单位</w:t>
            </w: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数量</w:t>
            </w:r>
          </w:p>
        </w:tc>
        <w:tc>
          <w:tcPr>
            <w:tcW w:w="3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含13%增值税专票税单价</w:t>
            </w: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备注</w:t>
            </w:r>
          </w:p>
        </w:tc>
      </w:tr>
      <w:tr>
        <w:tblPrEx>
          <w:tblLayout w:type="fixed"/>
          <w:tblCellMar>
            <w:top w:w="0" w:type="dxa"/>
            <w:left w:w="0" w:type="dxa"/>
            <w:bottom w:w="0" w:type="dxa"/>
            <w:right w:w="0" w:type="dxa"/>
          </w:tblCellMar>
        </w:tblPrEx>
        <w:trPr>
          <w:trHeight w:val="315" w:hRule="atLeast"/>
        </w:trPr>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3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r>
      <w:tr>
        <w:tblPrEx>
          <w:tblLayout w:type="fixed"/>
          <w:tblCellMar>
            <w:top w:w="0" w:type="dxa"/>
            <w:left w:w="0" w:type="dxa"/>
            <w:bottom w:w="0" w:type="dxa"/>
            <w:right w:w="0" w:type="dxa"/>
          </w:tblCellMar>
        </w:tblPrEx>
        <w:trPr>
          <w:trHeight w:val="315" w:hRule="atLeast"/>
        </w:trPr>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30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c>
          <w:tcPr>
            <w:tcW w:w="12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FF0000"/>
                <w:kern w:val="0"/>
                <w:sz w:val="24"/>
                <w:szCs w:val="24"/>
                <w:u w:val="none"/>
                <w:lang w:val="en-US" w:eastAsia="zh-CN" w:bidi="ar"/>
              </w:rPr>
            </w:pPr>
            <w:r>
              <w:rPr>
                <w:rFonts w:hint="eastAsia" w:ascii="宋体" w:hAnsi="宋体" w:cs="宋体"/>
                <w:i w:val="0"/>
                <w:color w:val="FF0000"/>
                <w:kern w:val="0"/>
                <w:sz w:val="24"/>
                <w:szCs w:val="24"/>
                <w:u w:val="none"/>
                <w:lang w:val="en-US" w:eastAsia="zh-CN" w:bidi="ar"/>
              </w:rPr>
              <w:t>（根据电力报价实际情况调整表格）</w:t>
            </w:r>
          </w:p>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详细性能说明：</w:t>
            </w:r>
          </w:p>
          <w:p>
            <w:pPr>
              <w:keepNext w:val="0"/>
              <w:keepLines w:val="0"/>
              <w:widowControl/>
              <w:suppressLineNumbers w:val="0"/>
              <w:ind w:firstLine="560" w:firstLineChars="200"/>
              <w:jc w:val="both"/>
              <w:textAlignment w:val="center"/>
              <w:rPr>
                <w:rFonts w:hint="eastAsia" w:ascii="宋体" w:hAnsi="宋体" w:cs="宋体"/>
                <w:i w:val="0"/>
                <w:color w:val="FF0000"/>
                <w:kern w:val="0"/>
                <w:sz w:val="28"/>
                <w:szCs w:val="28"/>
                <w:u w:val="none"/>
                <w:lang w:val="en-US" w:eastAsia="zh-CN" w:bidi="ar"/>
              </w:rPr>
            </w:pPr>
            <w:r>
              <w:rPr>
                <w:rFonts w:hint="eastAsia" w:ascii="宋体" w:hAnsi="宋体" w:cs="宋体"/>
                <w:i w:val="0"/>
                <w:color w:val="FF0000"/>
                <w:kern w:val="0"/>
                <w:sz w:val="28"/>
                <w:szCs w:val="28"/>
                <w:u w:val="none"/>
                <w:lang w:val="en-US" w:eastAsia="zh-CN" w:bidi="ar"/>
              </w:rPr>
              <w:t>电费要求“固定部分价格80%”与“月度集中竞争交易综合价20%”</w:t>
            </w:r>
          </w:p>
          <w:p>
            <w:pPr>
              <w:keepNext w:val="0"/>
              <w:keepLines w:val="0"/>
              <w:widowControl/>
              <w:suppressLineNumbers w:val="0"/>
              <w:ind w:firstLine="560"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color w:val="auto"/>
                <w:sz w:val="28"/>
                <w:szCs w:val="28"/>
                <w:lang w:val="en-US" w:eastAsia="zh-CN"/>
              </w:rPr>
              <w:t>试</w:t>
            </w:r>
            <w:r>
              <w:rPr>
                <w:rFonts w:hint="eastAsia" w:ascii="宋体" w:hAnsi="宋体" w:eastAsia="宋体" w:cs="宋体"/>
                <w:color w:val="auto"/>
                <w:sz w:val="28"/>
                <w:szCs w:val="28"/>
                <w:lang w:val="en-US" w:eastAsia="zh-CN"/>
              </w:rPr>
              <w:t>实际情况调整</w:t>
            </w:r>
            <w:r>
              <w:rPr>
                <w:rFonts w:hint="eastAsia" w:ascii="宋体" w:hAnsi="宋体" w:cs="宋体"/>
                <w:i w:val="0"/>
                <w:color w:val="FF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以上报价含13%增值税</w:t>
            </w:r>
            <w:r>
              <w:rPr>
                <w:rFonts w:hint="eastAsia" w:ascii="宋体" w:hAnsi="宋体" w:cs="宋体"/>
                <w:i w:val="0"/>
                <w:color w:val="000000"/>
                <w:kern w:val="0"/>
                <w:sz w:val="24"/>
                <w:szCs w:val="24"/>
                <w:u w:val="none"/>
                <w:lang w:val="en-US" w:eastAsia="zh-CN" w:bidi="ar"/>
              </w:rPr>
              <w:t>专票</w:t>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0"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0313BA"/>
    <w:rsid w:val="0549495F"/>
    <w:rsid w:val="063A67C6"/>
    <w:rsid w:val="07FC5179"/>
    <w:rsid w:val="092E2AC5"/>
    <w:rsid w:val="0978432F"/>
    <w:rsid w:val="09933971"/>
    <w:rsid w:val="09EF09E2"/>
    <w:rsid w:val="0A8726C7"/>
    <w:rsid w:val="0AD15D3F"/>
    <w:rsid w:val="0D57245A"/>
    <w:rsid w:val="0D9321FA"/>
    <w:rsid w:val="0E7B1552"/>
    <w:rsid w:val="0E942F6A"/>
    <w:rsid w:val="0EF86860"/>
    <w:rsid w:val="11BC327E"/>
    <w:rsid w:val="128662C4"/>
    <w:rsid w:val="13067DF6"/>
    <w:rsid w:val="13323D3C"/>
    <w:rsid w:val="136E6FD4"/>
    <w:rsid w:val="13971CE4"/>
    <w:rsid w:val="13EA24DA"/>
    <w:rsid w:val="14466AF7"/>
    <w:rsid w:val="1512138A"/>
    <w:rsid w:val="15305535"/>
    <w:rsid w:val="19FD4B06"/>
    <w:rsid w:val="1B1414D1"/>
    <w:rsid w:val="1B7C7AD4"/>
    <w:rsid w:val="1CC97487"/>
    <w:rsid w:val="1FBC3FDA"/>
    <w:rsid w:val="20924EA0"/>
    <w:rsid w:val="21590EC5"/>
    <w:rsid w:val="23471DE7"/>
    <w:rsid w:val="23F8465C"/>
    <w:rsid w:val="24982B9A"/>
    <w:rsid w:val="288A76EB"/>
    <w:rsid w:val="28B76C92"/>
    <w:rsid w:val="29BB2C53"/>
    <w:rsid w:val="2A7A5DA4"/>
    <w:rsid w:val="2B7F521A"/>
    <w:rsid w:val="2C3E0605"/>
    <w:rsid w:val="2E9279F7"/>
    <w:rsid w:val="307A45B2"/>
    <w:rsid w:val="31E35BCD"/>
    <w:rsid w:val="32072C28"/>
    <w:rsid w:val="321F2060"/>
    <w:rsid w:val="334A4F9E"/>
    <w:rsid w:val="35A14D57"/>
    <w:rsid w:val="36A47C97"/>
    <w:rsid w:val="383C4E70"/>
    <w:rsid w:val="3868674D"/>
    <w:rsid w:val="39205692"/>
    <w:rsid w:val="3A9A6FDB"/>
    <w:rsid w:val="3AC80714"/>
    <w:rsid w:val="3C667C28"/>
    <w:rsid w:val="3CC62562"/>
    <w:rsid w:val="3E6839B0"/>
    <w:rsid w:val="3FFC49B6"/>
    <w:rsid w:val="406C03D1"/>
    <w:rsid w:val="42764D51"/>
    <w:rsid w:val="43D32A6C"/>
    <w:rsid w:val="44D9176C"/>
    <w:rsid w:val="45A76B4F"/>
    <w:rsid w:val="465826DB"/>
    <w:rsid w:val="46F71E3A"/>
    <w:rsid w:val="47602C3A"/>
    <w:rsid w:val="499E0979"/>
    <w:rsid w:val="49C169D3"/>
    <w:rsid w:val="4A2B1E16"/>
    <w:rsid w:val="4A550B96"/>
    <w:rsid w:val="4E9804DF"/>
    <w:rsid w:val="4E9A7E84"/>
    <w:rsid w:val="4F6653C2"/>
    <w:rsid w:val="50B974A9"/>
    <w:rsid w:val="522F027F"/>
    <w:rsid w:val="531978D3"/>
    <w:rsid w:val="53B26A0F"/>
    <w:rsid w:val="55B21FEB"/>
    <w:rsid w:val="56465389"/>
    <w:rsid w:val="57D6272B"/>
    <w:rsid w:val="5896551B"/>
    <w:rsid w:val="592651BC"/>
    <w:rsid w:val="594B39CB"/>
    <w:rsid w:val="594D76B8"/>
    <w:rsid w:val="5BC0724A"/>
    <w:rsid w:val="5CCA6EA5"/>
    <w:rsid w:val="5DEA7DE8"/>
    <w:rsid w:val="5F7D226D"/>
    <w:rsid w:val="60176C5A"/>
    <w:rsid w:val="605D57B2"/>
    <w:rsid w:val="61F87A64"/>
    <w:rsid w:val="6266798A"/>
    <w:rsid w:val="626734C7"/>
    <w:rsid w:val="62BE650A"/>
    <w:rsid w:val="62DD5089"/>
    <w:rsid w:val="644D7A69"/>
    <w:rsid w:val="67222A72"/>
    <w:rsid w:val="682129C0"/>
    <w:rsid w:val="68ED4933"/>
    <w:rsid w:val="68F2760A"/>
    <w:rsid w:val="69F13128"/>
    <w:rsid w:val="6A6642F6"/>
    <w:rsid w:val="6B9D6548"/>
    <w:rsid w:val="6BBC0A8A"/>
    <w:rsid w:val="6CC214B2"/>
    <w:rsid w:val="6ED207BA"/>
    <w:rsid w:val="6F460BBC"/>
    <w:rsid w:val="7018760E"/>
    <w:rsid w:val="70A6729C"/>
    <w:rsid w:val="71E1785F"/>
    <w:rsid w:val="74A16FEF"/>
    <w:rsid w:val="76A34A5B"/>
    <w:rsid w:val="76C07F60"/>
    <w:rsid w:val="78C53192"/>
    <w:rsid w:val="7E4F57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卢旭虎</cp:lastModifiedBy>
  <cp:lastPrinted>2023-10-12T03:32:00Z</cp:lastPrinted>
  <dcterms:modified xsi:type="dcterms:W3CDTF">2025-10-24T02:59:29Z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